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25" w:rsidRPr="000744C6" w:rsidRDefault="0015702C" w:rsidP="000744C6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0744C6">
        <w:rPr>
          <w:rFonts w:ascii="Arial" w:hAnsi="Arial" w:cs="Arial"/>
          <w:bCs/>
          <w:spacing w:val="-3"/>
          <w:sz w:val="22"/>
          <w:szCs w:val="22"/>
        </w:rPr>
        <w:t>T</w:t>
      </w:r>
      <w:r w:rsidR="00911925" w:rsidRPr="000744C6">
        <w:rPr>
          <w:rFonts w:ascii="Arial" w:hAnsi="Arial" w:cs="Arial"/>
          <w:bCs/>
          <w:spacing w:val="-3"/>
          <w:sz w:val="22"/>
          <w:szCs w:val="22"/>
        </w:rPr>
        <w:t xml:space="preserve">he justice portfolio encompasses the administration of over 150 statutes which are periodically reviewed to identify amendments to ensure that the Acts continue to operate in the manner intended. </w:t>
      </w:r>
    </w:p>
    <w:p w:rsidR="00C542E3" w:rsidRPr="00C542E3" w:rsidRDefault="00911925" w:rsidP="000744C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C542E3">
        <w:rPr>
          <w:rFonts w:ascii="Arial" w:hAnsi="Arial" w:cs="Arial"/>
          <w:bCs/>
          <w:spacing w:val="-3"/>
          <w:sz w:val="22"/>
          <w:szCs w:val="22"/>
        </w:rPr>
        <w:t>The Court and Civil L</w:t>
      </w:r>
      <w:r w:rsidR="00AE4198">
        <w:rPr>
          <w:rFonts w:ascii="Arial" w:hAnsi="Arial" w:cs="Arial"/>
          <w:bCs/>
          <w:spacing w:val="-3"/>
          <w:sz w:val="22"/>
          <w:szCs w:val="22"/>
        </w:rPr>
        <w:t>egislation Amendment Bill 2017</w:t>
      </w:r>
      <w:r w:rsidRPr="00C542E3">
        <w:rPr>
          <w:rFonts w:ascii="Arial" w:hAnsi="Arial" w:cs="Arial"/>
          <w:bCs/>
          <w:spacing w:val="-3"/>
          <w:sz w:val="22"/>
          <w:szCs w:val="22"/>
        </w:rPr>
        <w:t xml:space="preserve"> makes miscellaneous amendments to</w:t>
      </w:r>
      <w:r w:rsidR="00C542E3" w:rsidRPr="00C542E3">
        <w:rPr>
          <w:rFonts w:ascii="Arial" w:hAnsi="Arial" w:cs="Arial"/>
          <w:bCs/>
          <w:spacing w:val="-3"/>
          <w:sz w:val="22"/>
          <w:szCs w:val="22"/>
        </w:rPr>
        <w:t xml:space="preserve"> various statutes in the justice portfolio, including</w:t>
      </w:r>
      <w:r w:rsidR="00C542E3">
        <w:rPr>
          <w:rFonts w:ascii="Arial" w:hAnsi="Arial" w:cs="Arial"/>
          <w:bCs/>
          <w:spacing w:val="-3"/>
          <w:sz w:val="22"/>
          <w:szCs w:val="22"/>
        </w:rPr>
        <w:t xml:space="preserve"> amendments to</w:t>
      </w:r>
      <w:r w:rsidR="00C542E3" w:rsidRPr="00C542E3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C542E3" w:rsidRPr="00C542E3" w:rsidRDefault="00C542E3" w:rsidP="000744C6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542E3">
        <w:rPr>
          <w:rFonts w:ascii="Arial" w:hAnsi="Arial" w:cs="Arial"/>
          <w:sz w:val="22"/>
          <w:szCs w:val="22"/>
        </w:rPr>
        <w:t xml:space="preserve">the </w:t>
      </w:r>
      <w:r w:rsidRPr="00C542E3">
        <w:rPr>
          <w:rFonts w:ascii="Arial" w:hAnsi="Arial" w:cs="Arial"/>
          <w:i/>
          <w:sz w:val="22"/>
          <w:szCs w:val="22"/>
        </w:rPr>
        <w:t>Classification of Computer Games and Images Act 1995</w:t>
      </w:r>
      <w:r w:rsidRPr="00C542E3">
        <w:rPr>
          <w:rFonts w:ascii="Arial" w:hAnsi="Arial" w:cs="Arial"/>
          <w:sz w:val="22"/>
          <w:szCs w:val="22"/>
        </w:rPr>
        <w:t xml:space="preserve">, the </w:t>
      </w:r>
      <w:r w:rsidRPr="00C542E3">
        <w:rPr>
          <w:rFonts w:ascii="Arial" w:hAnsi="Arial" w:cs="Arial"/>
          <w:i/>
          <w:sz w:val="22"/>
          <w:szCs w:val="22"/>
        </w:rPr>
        <w:t>Classification of Films Act 1991</w:t>
      </w:r>
      <w:r w:rsidRPr="00C542E3">
        <w:rPr>
          <w:rFonts w:ascii="Arial" w:hAnsi="Arial" w:cs="Arial"/>
          <w:sz w:val="22"/>
          <w:szCs w:val="22"/>
        </w:rPr>
        <w:t xml:space="preserve"> and the </w:t>
      </w:r>
      <w:r w:rsidRPr="00C542E3">
        <w:rPr>
          <w:rFonts w:ascii="Arial" w:hAnsi="Arial" w:cs="Arial"/>
          <w:i/>
          <w:sz w:val="22"/>
          <w:szCs w:val="22"/>
        </w:rPr>
        <w:t>Classification of Publications Act 1991</w:t>
      </w:r>
      <w:r w:rsidRPr="00C542E3">
        <w:rPr>
          <w:rFonts w:ascii="Arial" w:hAnsi="Arial" w:cs="Arial"/>
          <w:sz w:val="22"/>
          <w:szCs w:val="22"/>
        </w:rPr>
        <w:t xml:space="preserve"> to align with corresponding Commonwealth legislation and remove all references to classification officers;</w:t>
      </w:r>
    </w:p>
    <w:p w:rsidR="00C542E3" w:rsidRPr="00C542E3" w:rsidRDefault="00C542E3" w:rsidP="000744C6">
      <w:pPr>
        <w:pStyle w:val="ListParagraph"/>
        <w:keepLines/>
        <w:numPr>
          <w:ilvl w:val="0"/>
          <w:numId w:val="6"/>
        </w:numPr>
        <w:tabs>
          <w:tab w:val="left" w:pos="284"/>
        </w:tabs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C542E3">
        <w:rPr>
          <w:rFonts w:ascii="Arial" w:hAnsi="Arial" w:cs="Arial"/>
          <w:sz w:val="22"/>
          <w:szCs w:val="22"/>
        </w:rPr>
        <w:t xml:space="preserve">the </w:t>
      </w:r>
      <w:r w:rsidRPr="00C542E3">
        <w:rPr>
          <w:rFonts w:ascii="Arial" w:hAnsi="Arial" w:cs="Arial"/>
          <w:i/>
          <w:sz w:val="22"/>
          <w:szCs w:val="22"/>
        </w:rPr>
        <w:t>Information Privacy Act 2009</w:t>
      </w:r>
      <w:r w:rsidRPr="00C542E3">
        <w:rPr>
          <w:rFonts w:ascii="Arial" w:hAnsi="Arial" w:cs="Arial"/>
          <w:sz w:val="22"/>
          <w:szCs w:val="22"/>
        </w:rPr>
        <w:t xml:space="preserve"> to allow disclosure of personal information to the Australian Security Intelligence Organisation in appropriate cases;</w:t>
      </w:r>
    </w:p>
    <w:p w:rsidR="00C542E3" w:rsidRPr="00C542E3" w:rsidRDefault="00C542E3" w:rsidP="000744C6">
      <w:pPr>
        <w:pStyle w:val="ListParagraph"/>
        <w:keepLines/>
        <w:numPr>
          <w:ilvl w:val="0"/>
          <w:numId w:val="6"/>
        </w:numPr>
        <w:tabs>
          <w:tab w:val="left" w:pos="284"/>
        </w:tabs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C542E3">
        <w:rPr>
          <w:rFonts w:ascii="Arial" w:hAnsi="Arial" w:cs="Arial"/>
          <w:sz w:val="22"/>
          <w:szCs w:val="22"/>
        </w:rPr>
        <w:t xml:space="preserve">the </w:t>
      </w:r>
      <w:r w:rsidRPr="00C542E3">
        <w:rPr>
          <w:rFonts w:ascii="Arial" w:hAnsi="Arial" w:cs="Arial"/>
          <w:i/>
          <w:sz w:val="22"/>
          <w:szCs w:val="22"/>
        </w:rPr>
        <w:t>Magistrates Act 1991</w:t>
      </w:r>
      <w:r w:rsidRPr="00C542E3">
        <w:rPr>
          <w:rFonts w:ascii="Arial" w:hAnsi="Arial" w:cs="Arial"/>
          <w:sz w:val="22"/>
          <w:szCs w:val="22"/>
        </w:rPr>
        <w:t xml:space="preserve"> to increase the age limit for acting magistrates</w:t>
      </w:r>
      <w:r w:rsidR="0075584C">
        <w:rPr>
          <w:rFonts w:ascii="Arial" w:hAnsi="Arial" w:cs="Arial"/>
          <w:sz w:val="22"/>
          <w:szCs w:val="22"/>
        </w:rPr>
        <w:t>, who are retired magistrates,</w:t>
      </w:r>
      <w:r w:rsidRPr="00C542E3">
        <w:rPr>
          <w:rFonts w:ascii="Arial" w:hAnsi="Arial" w:cs="Arial"/>
          <w:sz w:val="22"/>
          <w:szCs w:val="22"/>
        </w:rPr>
        <w:t xml:space="preserve"> to 75 years;</w:t>
      </w:r>
    </w:p>
    <w:p w:rsidR="00C542E3" w:rsidRPr="00C542E3" w:rsidRDefault="00C542E3" w:rsidP="000744C6">
      <w:pPr>
        <w:pStyle w:val="ListParagraph"/>
        <w:keepLines/>
        <w:numPr>
          <w:ilvl w:val="0"/>
          <w:numId w:val="6"/>
        </w:numPr>
        <w:tabs>
          <w:tab w:val="left" w:pos="284"/>
        </w:tabs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C542E3">
        <w:rPr>
          <w:rFonts w:ascii="Arial" w:hAnsi="Arial" w:cs="Arial"/>
          <w:sz w:val="22"/>
          <w:szCs w:val="22"/>
        </w:rPr>
        <w:t xml:space="preserve">the </w:t>
      </w:r>
      <w:r w:rsidRPr="00C542E3">
        <w:rPr>
          <w:rFonts w:ascii="Arial" w:hAnsi="Arial" w:cs="Arial"/>
          <w:i/>
          <w:sz w:val="22"/>
          <w:szCs w:val="22"/>
        </w:rPr>
        <w:t>Ombudsman Act 2001</w:t>
      </w:r>
      <w:r w:rsidRPr="00C542E3">
        <w:rPr>
          <w:rFonts w:ascii="Arial" w:hAnsi="Arial" w:cs="Arial"/>
          <w:sz w:val="22"/>
          <w:szCs w:val="22"/>
        </w:rPr>
        <w:t xml:space="preserve">  to</w:t>
      </w:r>
      <w:r w:rsidR="00953473">
        <w:rPr>
          <w:rFonts w:ascii="Arial" w:hAnsi="Arial" w:cs="Arial"/>
          <w:sz w:val="22"/>
          <w:szCs w:val="22"/>
        </w:rPr>
        <w:t>:</w:t>
      </w:r>
      <w:r w:rsidRPr="00C542E3">
        <w:rPr>
          <w:rFonts w:ascii="Arial" w:hAnsi="Arial" w:cs="Arial"/>
          <w:sz w:val="22"/>
          <w:szCs w:val="22"/>
        </w:rPr>
        <w:t xml:space="preserve"> enable the Ombudsman to deal more efficiently and effectively with complaints through an improved ability to protect complainants and witnesses; and improving the Ombudsman’s ability to obtain and control the release of sensitive information;</w:t>
      </w:r>
    </w:p>
    <w:p w:rsidR="00D2760D" w:rsidRPr="00D2760D" w:rsidRDefault="00C542E3" w:rsidP="000744C6">
      <w:pPr>
        <w:pStyle w:val="ListParagraph"/>
        <w:keepLines/>
        <w:numPr>
          <w:ilvl w:val="0"/>
          <w:numId w:val="6"/>
        </w:numPr>
        <w:tabs>
          <w:tab w:val="left" w:pos="284"/>
        </w:tabs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C542E3">
        <w:rPr>
          <w:rFonts w:ascii="Arial" w:hAnsi="Arial" w:cs="Arial"/>
          <w:sz w:val="22"/>
          <w:szCs w:val="22"/>
        </w:rPr>
        <w:t xml:space="preserve">the </w:t>
      </w:r>
      <w:r w:rsidRPr="00C542E3">
        <w:rPr>
          <w:rFonts w:ascii="Arial" w:hAnsi="Arial" w:cs="Arial"/>
          <w:i/>
          <w:sz w:val="22"/>
          <w:szCs w:val="22"/>
        </w:rPr>
        <w:t>Property Law Act 1974</w:t>
      </w:r>
      <w:r w:rsidRPr="00C542E3">
        <w:rPr>
          <w:rFonts w:ascii="Arial" w:hAnsi="Arial" w:cs="Arial"/>
          <w:sz w:val="22"/>
          <w:szCs w:val="22"/>
        </w:rPr>
        <w:t xml:space="preserve"> to </w:t>
      </w:r>
      <w:r w:rsidR="00953473" w:rsidRPr="00953473">
        <w:rPr>
          <w:rFonts w:ascii="Arial" w:hAnsi="Arial" w:cs="Arial"/>
          <w:sz w:val="22"/>
          <w:szCs w:val="22"/>
        </w:rPr>
        <w:t>prohibit statutory instruments (other than prescribed subordinate legislation) from rendering void, unenforceable or subject to termination, contracts or dealings conc</w:t>
      </w:r>
      <w:r w:rsidR="00AB2F4C">
        <w:rPr>
          <w:rFonts w:ascii="Arial" w:hAnsi="Arial" w:cs="Arial"/>
          <w:sz w:val="22"/>
          <w:szCs w:val="22"/>
        </w:rPr>
        <w:t>erning property that are made,</w:t>
      </w:r>
      <w:r w:rsidR="00953473" w:rsidRPr="00953473">
        <w:rPr>
          <w:rFonts w:ascii="Arial" w:hAnsi="Arial" w:cs="Arial"/>
          <w:sz w:val="22"/>
          <w:szCs w:val="22"/>
        </w:rPr>
        <w:t xml:space="preserve"> entered into </w:t>
      </w:r>
      <w:r w:rsidR="00AB2F4C">
        <w:rPr>
          <w:rFonts w:ascii="Arial" w:hAnsi="Arial" w:cs="Arial"/>
          <w:sz w:val="22"/>
          <w:szCs w:val="22"/>
        </w:rPr>
        <w:t xml:space="preserve">or effected </w:t>
      </w:r>
      <w:r w:rsidR="00953473" w:rsidRPr="00953473">
        <w:rPr>
          <w:rFonts w:ascii="Arial" w:hAnsi="Arial" w:cs="Arial"/>
          <w:sz w:val="22"/>
          <w:szCs w:val="22"/>
        </w:rPr>
        <w:t>contrary to the statutory instrument</w:t>
      </w:r>
      <w:r w:rsidR="00953473">
        <w:rPr>
          <w:rFonts w:ascii="Arial" w:hAnsi="Arial" w:cs="Arial"/>
          <w:sz w:val="22"/>
          <w:szCs w:val="22"/>
        </w:rPr>
        <w:t>;</w:t>
      </w:r>
    </w:p>
    <w:p w:rsidR="00C542E3" w:rsidRPr="00C542E3" w:rsidRDefault="00C542E3" w:rsidP="000744C6">
      <w:pPr>
        <w:pStyle w:val="ListParagraph"/>
        <w:keepLines/>
        <w:numPr>
          <w:ilvl w:val="0"/>
          <w:numId w:val="6"/>
        </w:numPr>
        <w:tabs>
          <w:tab w:val="left" w:pos="284"/>
        </w:tabs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C542E3">
        <w:rPr>
          <w:rFonts w:ascii="Arial" w:hAnsi="Arial" w:cs="Arial"/>
          <w:sz w:val="22"/>
          <w:szCs w:val="22"/>
        </w:rPr>
        <w:t xml:space="preserve">the </w:t>
      </w:r>
      <w:r w:rsidRPr="00C542E3">
        <w:rPr>
          <w:rFonts w:ascii="Arial" w:hAnsi="Arial" w:cs="Arial"/>
          <w:i/>
          <w:sz w:val="22"/>
          <w:szCs w:val="22"/>
        </w:rPr>
        <w:t>Public Guardian Act 2014</w:t>
      </w:r>
      <w:r w:rsidRPr="00C542E3">
        <w:rPr>
          <w:rFonts w:ascii="Arial" w:hAnsi="Arial" w:cs="Arial"/>
          <w:sz w:val="22"/>
          <w:szCs w:val="22"/>
        </w:rPr>
        <w:t xml:space="preserve"> to clarify that the functions and powers of the Public Guardian in relation to a relevant child can be exercised from the time an application for an order under the </w:t>
      </w:r>
      <w:r w:rsidRPr="00C542E3">
        <w:rPr>
          <w:rFonts w:ascii="Arial" w:hAnsi="Arial" w:cs="Arial"/>
          <w:i/>
          <w:sz w:val="22"/>
          <w:szCs w:val="22"/>
        </w:rPr>
        <w:t>Child Protection Act 1999</w:t>
      </w:r>
      <w:r w:rsidRPr="00C542E3">
        <w:rPr>
          <w:rFonts w:ascii="Arial" w:hAnsi="Arial" w:cs="Arial"/>
          <w:sz w:val="22"/>
          <w:szCs w:val="22"/>
        </w:rPr>
        <w:t xml:space="preserve"> is filed until the application is finalised and arrangements are no longer in place for that child;</w:t>
      </w:r>
    </w:p>
    <w:p w:rsidR="00D2760D" w:rsidRDefault="00C542E3" w:rsidP="000744C6">
      <w:pPr>
        <w:pStyle w:val="ListParagraph"/>
        <w:keepLines/>
        <w:numPr>
          <w:ilvl w:val="0"/>
          <w:numId w:val="6"/>
        </w:numPr>
        <w:tabs>
          <w:tab w:val="left" w:pos="284"/>
        </w:tabs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D2760D">
        <w:rPr>
          <w:rFonts w:ascii="Arial" w:hAnsi="Arial" w:cs="Arial"/>
          <w:sz w:val="22"/>
          <w:szCs w:val="22"/>
        </w:rPr>
        <w:t xml:space="preserve">the </w:t>
      </w:r>
      <w:r w:rsidRPr="00D2760D">
        <w:rPr>
          <w:rFonts w:ascii="Arial" w:hAnsi="Arial" w:cs="Arial"/>
          <w:i/>
          <w:sz w:val="22"/>
          <w:szCs w:val="22"/>
        </w:rPr>
        <w:t>Succession Act 1981</w:t>
      </w:r>
      <w:r w:rsidRPr="00D2760D">
        <w:rPr>
          <w:rFonts w:ascii="Arial" w:hAnsi="Arial" w:cs="Arial"/>
          <w:sz w:val="22"/>
          <w:szCs w:val="22"/>
        </w:rPr>
        <w:t xml:space="preserve"> to clarify when the stepchild relationship ends (for family provision applications) and to revoke certain dispositions in a will upon the end of a de facto relationship;</w:t>
      </w:r>
    </w:p>
    <w:p w:rsidR="00C542E3" w:rsidRPr="00C542E3" w:rsidRDefault="00C542E3" w:rsidP="000744C6">
      <w:pPr>
        <w:pStyle w:val="ListParagraph"/>
        <w:keepLines/>
        <w:numPr>
          <w:ilvl w:val="0"/>
          <w:numId w:val="6"/>
        </w:numPr>
        <w:tabs>
          <w:tab w:val="left" w:pos="284"/>
        </w:tabs>
        <w:spacing w:before="120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C542E3">
        <w:rPr>
          <w:rFonts w:ascii="Arial" w:hAnsi="Arial" w:cs="Arial"/>
          <w:color w:val="auto"/>
          <w:sz w:val="22"/>
          <w:szCs w:val="22"/>
        </w:rPr>
        <w:t xml:space="preserve">the </w:t>
      </w:r>
      <w:r w:rsidRPr="00C542E3">
        <w:rPr>
          <w:rFonts w:ascii="Arial" w:hAnsi="Arial" w:cs="Arial"/>
          <w:i/>
          <w:color w:val="auto"/>
          <w:sz w:val="22"/>
          <w:szCs w:val="22"/>
        </w:rPr>
        <w:t>Trusts Act 1973</w:t>
      </w:r>
      <w:r w:rsidRPr="00C542E3">
        <w:rPr>
          <w:rFonts w:ascii="Arial" w:hAnsi="Arial" w:cs="Arial"/>
          <w:color w:val="auto"/>
          <w:sz w:val="22"/>
          <w:szCs w:val="22"/>
        </w:rPr>
        <w:t xml:space="preserve"> to </w:t>
      </w:r>
      <w:r w:rsidR="00953473" w:rsidRPr="00953473">
        <w:rPr>
          <w:rFonts w:ascii="Arial" w:hAnsi="Arial" w:cs="Arial"/>
          <w:color w:val="auto"/>
          <w:sz w:val="22"/>
          <w:szCs w:val="22"/>
        </w:rPr>
        <w:t xml:space="preserve">achieve consistency with the </w:t>
      </w:r>
      <w:r w:rsidR="00953473" w:rsidRPr="00953473">
        <w:rPr>
          <w:rFonts w:ascii="Arial" w:hAnsi="Arial" w:cs="Arial"/>
          <w:i/>
          <w:iCs/>
          <w:color w:val="auto"/>
          <w:sz w:val="22"/>
          <w:szCs w:val="22"/>
        </w:rPr>
        <w:t xml:space="preserve">Powers of Attorney Act 1998 </w:t>
      </w:r>
      <w:r w:rsidR="00953473" w:rsidRPr="00953473">
        <w:rPr>
          <w:rFonts w:ascii="Arial" w:hAnsi="Arial" w:cs="Arial"/>
          <w:color w:val="auto"/>
          <w:sz w:val="22"/>
          <w:szCs w:val="22"/>
        </w:rPr>
        <w:t>by removing the requirement that the delegation of the administration of a trust is to be made by power of attorney executed as a deed</w:t>
      </w:r>
      <w:r w:rsidR="0015702C">
        <w:rPr>
          <w:rFonts w:ascii="Arial" w:hAnsi="Arial" w:cs="Arial"/>
          <w:color w:val="auto"/>
          <w:sz w:val="22"/>
          <w:szCs w:val="22"/>
        </w:rPr>
        <w:t>;</w:t>
      </w:r>
      <w:r w:rsidRPr="00C542E3">
        <w:rPr>
          <w:rFonts w:ascii="Arial" w:hAnsi="Arial" w:cs="Arial"/>
          <w:color w:val="auto"/>
          <w:sz w:val="22"/>
          <w:szCs w:val="22"/>
        </w:rPr>
        <w:t xml:space="preserve"> </w:t>
      </w:r>
      <w:r w:rsidR="00AE4198">
        <w:rPr>
          <w:rFonts w:ascii="Arial" w:hAnsi="Arial" w:cs="Arial"/>
          <w:color w:val="auto"/>
          <w:sz w:val="22"/>
          <w:szCs w:val="22"/>
        </w:rPr>
        <w:t>and</w:t>
      </w:r>
    </w:p>
    <w:p w:rsidR="00C542E3" w:rsidRPr="00C542E3" w:rsidRDefault="00C542E3" w:rsidP="000744C6">
      <w:pPr>
        <w:pStyle w:val="ListParagraph"/>
        <w:keepLines/>
        <w:numPr>
          <w:ilvl w:val="0"/>
          <w:numId w:val="6"/>
        </w:numPr>
        <w:tabs>
          <w:tab w:val="left" w:pos="284"/>
        </w:tabs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C542E3">
        <w:rPr>
          <w:rFonts w:ascii="Arial" w:hAnsi="Arial" w:cs="Arial"/>
          <w:sz w:val="22"/>
          <w:szCs w:val="22"/>
        </w:rPr>
        <w:t>other justice portfolio statutes to streamline administrative processes, repeal redundant legislation, clarify various provisions and make amendments of a technical or drafting nature.</w:t>
      </w:r>
    </w:p>
    <w:p w:rsidR="00E973BC" w:rsidRPr="00C542E3" w:rsidRDefault="00E973BC" w:rsidP="000744C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C542E3">
        <w:rPr>
          <w:rFonts w:ascii="Arial" w:hAnsi="Arial" w:cs="Arial"/>
          <w:sz w:val="22"/>
          <w:szCs w:val="22"/>
          <w:u w:val="single"/>
        </w:rPr>
        <w:t>Cabinet approved</w:t>
      </w:r>
      <w:r w:rsidR="00911925" w:rsidRPr="000F1910">
        <w:rPr>
          <w:rFonts w:ascii="Arial" w:hAnsi="Arial" w:cs="Arial"/>
          <w:sz w:val="22"/>
          <w:szCs w:val="22"/>
        </w:rPr>
        <w:t xml:space="preserve"> </w:t>
      </w:r>
      <w:r w:rsidR="00AE4198">
        <w:rPr>
          <w:rFonts w:ascii="Arial" w:hAnsi="Arial" w:cs="Arial"/>
          <w:sz w:val="22"/>
          <w:szCs w:val="22"/>
        </w:rPr>
        <w:t>the introduction of the Court</w:t>
      </w:r>
      <w:r w:rsidR="00911925" w:rsidRPr="00C542E3">
        <w:rPr>
          <w:rFonts w:ascii="Arial" w:hAnsi="Arial" w:cs="Arial"/>
          <w:sz w:val="22"/>
          <w:szCs w:val="22"/>
        </w:rPr>
        <w:t xml:space="preserve"> and Civil Legislation Amendment Bill 2017 into the Legislative Assembly. </w:t>
      </w:r>
    </w:p>
    <w:p w:rsidR="00911925" w:rsidRPr="00C542E3" w:rsidRDefault="00C542E3" w:rsidP="00AE4198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542E3">
        <w:rPr>
          <w:rFonts w:ascii="Arial" w:hAnsi="Arial" w:cs="Arial"/>
          <w:i/>
          <w:sz w:val="22"/>
          <w:szCs w:val="22"/>
          <w:u w:val="single"/>
        </w:rPr>
        <w:t>Attachment</w:t>
      </w:r>
      <w:r w:rsidR="00E82506">
        <w:rPr>
          <w:rFonts w:ascii="Arial" w:hAnsi="Arial" w:cs="Arial"/>
          <w:i/>
          <w:sz w:val="22"/>
          <w:szCs w:val="22"/>
          <w:u w:val="single"/>
        </w:rPr>
        <w:t>s</w:t>
      </w:r>
    </w:p>
    <w:p w:rsidR="00E973BC" w:rsidRPr="000744C6" w:rsidRDefault="00082E84" w:rsidP="000744C6">
      <w:pPr>
        <w:pStyle w:val="ListParagraph"/>
        <w:keepLines/>
        <w:numPr>
          <w:ilvl w:val="0"/>
          <w:numId w:val="6"/>
        </w:numPr>
        <w:tabs>
          <w:tab w:val="left" w:pos="284"/>
        </w:tabs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hyperlink r:id="rId7" w:history="1">
        <w:r w:rsidR="00AE4198" w:rsidRPr="000A38BC">
          <w:rPr>
            <w:rStyle w:val="Hyperlink"/>
            <w:rFonts w:ascii="Arial" w:hAnsi="Arial" w:cs="Arial"/>
            <w:sz w:val="22"/>
            <w:szCs w:val="22"/>
          </w:rPr>
          <w:t>Court</w:t>
        </w:r>
        <w:r w:rsidR="00911925" w:rsidRPr="000A38BC">
          <w:rPr>
            <w:rStyle w:val="Hyperlink"/>
            <w:rFonts w:ascii="Arial" w:hAnsi="Arial" w:cs="Arial"/>
            <w:sz w:val="22"/>
            <w:szCs w:val="22"/>
          </w:rPr>
          <w:t xml:space="preserve"> and Civil Legislation Amendment Bill 2017</w:t>
        </w:r>
      </w:hyperlink>
    </w:p>
    <w:p w:rsidR="00D44D04" w:rsidRPr="000744C6" w:rsidRDefault="00082E84" w:rsidP="000744C6">
      <w:pPr>
        <w:pStyle w:val="ListParagraph"/>
        <w:keepLines/>
        <w:numPr>
          <w:ilvl w:val="0"/>
          <w:numId w:val="6"/>
        </w:numPr>
        <w:tabs>
          <w:tab w:val="left" w:pos="284"/>
        </w:tabs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hyperlink r:id="rId8" w:history="1">
        <w:r w:rsidR="00D44D04" w:rsidRPr="000A38BC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D44D04" w:rsidRPr="000744C6" w:rsidSect="00450282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DEF" w:rsidRDefault="006F3DEF" w:rsidP="00D6589B">
      <w:r>
        <w:separator/>
      </w:r>
    </w:p>
  </w:endnote>
  <w:endnote w:type="continuationSeparator" w:id="0">
    <w:p w:rsidR="006F3DEF" w:rsidRDefault="006F3DE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DEF" w:rsidRDefault="006F3DEF" w:rsidP="00D6589B">
      <w:r>
        <w:separator/>
      </w:r>
    </w:p>
  </w:footnote>
  <w:footnote w:type="continuationSeparator" w:id="0">
    <w:p w:rsidR="006F3DEF" w:rsidRDefault="006F3DE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4C6" w:rsidRPr="00937A4A" w:rsidRDefault="000744C6" w:rsidP="000744C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0744C6" w:rsidRPr="00937A4A" w:rsidRDefault="000744C6" w:rsidP="000744C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0744C6" w:rsidRPr="00937A4A" w:rsidRDefault="000744C6" w:rsidP="000744C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March 2017</w:t>
    </w:r>
  </w:p>
  <w:p w:rsidR="000744C6" w:rsidRDefault="000744C6" w:rsidP="000744C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Court and Civil Legislation Amendment Bill 2017</w:t>
    </w:r>
  </w:p>
  <w:p w:rsidR="000744C6" w:rsidRPr="003A13A1" w:rsidRDefault="000744C6" w:rsidP="000744C6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Minister for Training and Skills</w:t>
    </w:r>
  </w:p>
  <w:p w:rsidR="000744C6" w:rsidRDefault="000744C6" w:rsidP="000744C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F39CA"/>
    <w:multiLevelType w:val="hybridMultilevel"/>
    <w:tmpl w:val="80EA0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D1D9B"/>
    <w:multiLevelType w:val="hybridMultilevel"/>
    <w:tmpl w:val="5D029DBC"/>
    <w:lvl w:ilvl="0" w:tplc="0C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2" w15:restartNumberingAfterBreak="0">
    <w:nsid w:val="57657560"/>
    <w:multiLevelType w:val="hybridMultilevel"/>
    <w:tmpl w:val="6798CD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25BF0"/>
    <w:multiLevelType w:val="hybridMultilevel"/>
    <w:tmpl w:val="B9D80AD4"/>
    <w:lvl w:ilvl="0" w:tplc="0C09000B">
      <w:start w:val="1"/>
      <w:numFmt w:val="bullet"/>
      <w:lvlText w:val="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082DA9"/>
    <w:multiLevelType w:val="hybridMultilevel"/>
    <w:tmpl w:val="B82CE7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76F87"/>
    <w:multiLevelType w:val="hybridMultilevel"/>
    <w:tmpl w:val="86E236A8"/>
    <w:lvl w:ilvl="0" w:tplc="20A24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AE"/>
    <w:rsid w:val="000430DD"/>
    <w:rsid w:val="000744C6"/>
    <w:rsid w:val="00080F8F"/>
    <w:rsid w:val="00082E84"/>
    <w:rsid w:val="0008575A"/>
    <w:rsid w:val="000A38BC"/>
    <w:rsid w:val="000F1910"/>
    <w:rsid w:val="000F312E"/>
    <w:rsid w:val="00102858"/>
    <w:rsid w:val="001318FA"/>
    <w:rsid w:val="00140936"/>
    <w:rsid w:val="0015702C"/>
    <w:rsid w:val="00174117"/>
    <w:rsid w:val="001D4B5A"/>
    <w:rsid w:val="001E209B"/>
    <w:rsid w:val="001E7127"/>
    <w:rsid w:val="0021344B"/>
    <w:rsid w:val="002D191A"/>
    <w:rsid w:val="002D649F"/>
    <w:rsid w:val="003A13A1"/>
    <w:rsid w:val="003B5871"/>
    <w:rsid w:val="00450282"/>
    <w:rsid w:val="004E3AE1"/>
    <w:rsid w:val="00501C66"/>
    <w:rsid w:val="0050474C"/>
    <w:rsid w:val="00550873"/>
    <w:rsid w:val="00596D27"/>
    <w:rsid w:val="00654B0A"/>
    <w:rsid w:val="006F3DEF"/>
    <w:rsid w:val="00732E22"/>
    <w:rsid w:val="0075584C"/>
    <w:rsid w:val="00757B12"/>
    <w:rsid w:val="007D2E74"/>
    <w:rsid w:val="00821E64"/>
    <w:rsid w:val="008A4523"/>
    <w:rsid w:val="008D251F"/>
    <w:rsid w:val="008F44CD"/>
    <w:rsid w:val="00911925"/>
    <w:rsid w:val="0093748E"/>
    <w:rsid w:val="00953473"/>
    <w:rsid w:val="00A110D9"/>
    <w:rsid w:val="00A527A5"/>
    <w:rsid w:val="00AB2F4C"/>
    <w:rsid w:val="00AD7250"/>
    <w:rsid w:val="00AE4198"/>
    <w:rsid w:val="00AE69F0"/>
    <w:rsid w:val="00B328A7"/>
    <w:rsid w:val="00B37C93"/>
    <w:rsid w:val="00B53CD1"/>
    <w:rsid w:val="00C07656"/>
    <w:rsid w:val="00C40FB0"/>
    <w:rsid w:val="00C542E3"/>
    <w:rsid w:val="00C75E67"/>
    <w:rsid w:val="00CB1501"/>
    <w:rsid w:val="00CE17BF"/>
    <w:rsid w:val="00CE6FBA"/>
    <w:rsid w:val="00CF0D8A"/>
    <w:rsid w:val="00D16102"/>
    <w:rsid w:val="00D2760D"/>
    <w:rsid w:val="00D44D04"/>
    <w:rsid w:val="00D6589B"/>
    <w:rsid w:val="00D75134"/>
    <w:rsid w:val="00DB6FE7"/>
    <w:rsid w:val="00DE61EC"/>
    <w:rsid w:val="00E40004"/>
    <w:rsid w:val="00E82506"/>
    <w:rsid w:val="00E973BC"/>
    <w:rsid w:val="00ED19AE"/>
    <w:rsid w:val="00F0095A"/>
    <w:rsid w:val="00F10DF9"/>
    <w:rsid w:val="00F55CEB"/>
    <w:rsid w:val="00F6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2E3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rsid w:val="000A38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2244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Submission</vt:lpstr>
    </vt:vector>
  </TitlesOfParts>
  <Manager/>
  <Company/>
  <LinksUpToDate>false</LinksUpToDate>
  <CharactersWithSpaces>2610</CharactersWithSpaces>
  <SharedDoc>false</SharedDoc>
  <HyperlinkBase>https://www.cabinet.qld.gov.au/documents/2017/Mar/CandCBill/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2017-06-16T04:30:00Z</cp:lastPrinted>
  <dcterms:created xsi:type="dcterms:W3CDTF">2017-10-17T01:24:00Z</dcterms:created>
  <dcterms:modified xsi:type="dcterms:W3CDTF">2018-03-06T01:50:00Z</dcterms:modified>
  <cp:category>Legislation,Courts,Privacy,Guardianship,Justice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-785644353</vt:i4>
  </property>
  <property fmtid="{D5CDD505-2E9C-101B-9397-08002B2CF9AE}" pid="3" name="_NewReviewCycle">
    <vt:lpwstr/>
  </property>
  <property fmtid="{D5CDD505-2E9C-101B-9397-08002B2CF9AE}" pid="4" name="_PreviousAdHocReviewCycleID">
    <vt:i4>-731068445</vt:i4>
  </property>
  <property fmtid="{D5CDD505-2E9C-101B-9397-08002B2CF9AE}" pid="5" name="_ReviewingToolsShownOnce">
    <vt:lpwstr/>
  </property>
</Properties>
</file>